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E834" w14:textId="77777777" w:rsidR="0003031E" w:rsidRPr="0003031E" w:rsidRDefault="0003031E" w:rsidP="0003031E">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03031E">
        <w:rPr>
          <w:rFonts w:ascii="Lato" w:eastAsia="Times New Roman" w:hAnsi="Lato" w:cs="Times New Roman"/>
          <w:color w:val="CC3300"/>
          <w:kern w:val="36"/>
          <w:sz w:val="36"/>
          <w:szCs w:val="36"/>
          <w:lang w:eastAsia="fr-BE"/>
          <w14:ligatures w14:val="none"/>
        </w:rPr>
        <w:t>Le silicium et le rhénium considérés comme métaux critiques par les Etats-Unis</w:t>
      </w:r>
    </w:p>
    <w:p w14:paraId="5B84FA95" w14:textId="77777777" w:rsidR="0003031E" w:rsidRDefault="0003031E" w:rsidP="0003031E">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7C11BE38" w14:textId="628676B5" w:rsidR="0003031E" w:rsidRPr="0003031E" w:rsidRDefault="0003031E" w:rsidP="0003031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3031E">
        <w:rPr>
          <w:rFonts w:ascii="Lato" w:eastAsia="Times New Roman" w:hAnsi="Lato" w:cs="Times New Roman"/>
          <w:b/>
          <w:bCs/>
          <w:color w:val="000000"/>
          <w:kern w:val="0"/>
          <w:sz w:val="23"/>
          <w:szCs w:val="23"/>
          <w:lang w:eastAsia="fr-BE"/>
          <w14:ligatures w14:val="none"/>
        </w:rPr>
        <w:t>Les Etats-Unis ont élaboré la première mouture de l’édition 2025 de la liste des métaux stratégiques, qui intègre le silicium et le rhénium.</w:t>
      </w:r>
    </w:p>
    <w:p w14:paraId="4FBB7676" w14:textId="77777777" w:rsidR="0003031E" w:rsidRPr="0003031E" w:rsidRDefault="0003031E" w:rsidP="0003031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3031E">
        <w:rPr>
          <w:rFonts w:ascii="Lato" w:eastAsia="Times New Roman" w:hAnsi="Lato" w:cs="Times New Roman"/>
          <w:color w:val="000000"/>
          <w:kern w:val="0"/>
          <w:sz w:val="23"/>
          <w:szCs w:val="23"/>
          <w:lang w:eastAsia="fr-BE"/>
          <w14:ligatures w14:val="none"/>
        </w:rPr>
        <w:t> </w:t>
      </w:r>
    </w:p>
    <w:p w14:paraId="65BC5A1E" w14:textId="77777777" w:rsidR="0003031E" w:rsidRPr="0003031E" w:rsidRDefault="0003031E" w:rsidP="0003031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3031E">
        <w:rPr>
          <w:rFonts w:ascii="Lato" w:eastAsia="Times New Roman" w:hAnsi="Lato" w:cs="Times New Roman"/>
          <w:b/>
          <w:bCs/>
          <w:color w:val="A52A2A"/>
          <w:kern w:val="0"/>
          <w:sz w:val="23"/>
          <w:szCs w:val="23"/>
          <w:lang w:eastAsia="fr-BE"/>
          <w14:ligatures w14:val="none"/>
        </w:rPr>
        <w:t>Métaux stratégiques : les Etats-Unis dévoilent les métaux qui devraient figurer sur la liste 2025</w:t>
      </w:r>
    </w:p>
    <w:p w14:paraId="05DA1528" w14:textId="77777777" w:rsidR="0003031E" w:rsidRPr="0003031E" w:rsidRDefault="0003031E" w:rsidP="0003031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3031E">
        <w:rPr>
          <w:rFonts w:ascii="Lato" w:eastAsia="Times New Roman" w:hAnsi="Lato" w:cs="Times New Roman"/>
          <w:color w:val="000000"/>
          <w:kern w:val="0"/>
          <w:sz w:val="23"/>
          <w:szCs w:val="23"/>
          <w:lang w:eastAsia="fr-BE"/>
          <w14:ligatures w14:val="none"/>
        </w:rPr>
        <w:t>Tous les trois ans, les Etats-Unis mettent à jour leur liste de minéraux critiques. L’intégration à ce classement permet de bénéficier d’un soutien fédéral. Figurent sur cette liste les métaux soumis à de fortes tensions sur l’offre. Le </w:t>
      </w:r>
      <w:r w:rsidRPr="0003031E">
        <w:rPr>
          <w:rFonts w:ascii="Lato" w:eastAsia="Times New Roman" w:hAnsi="Lato" w:cs="Times New Roman"/>
          <w:color w:val="000000"/>
          <w:kern w:val="0"/>
          <w:sz w:val="23"/>
          <w:szCs w:val="23"/>
          <w:u w:val="single"/>
          <w:lang w:eastAsia="fr-BE"/>
          <w14:ligatures w14:val="none"/>
        </w:rPr>
        <w:t>silicium</w:t>
      </w:r>
      <w:r w:rsidRPr="0003031E">
        <w:rPr>
          <w:rFonts w:ascii="Lato" w:eastAsia="Times New Roman" w:hAnsi="Lato" w:cs="Times New Roman"/>
          <w:color w:val="000000"/>
          <w:kern w:val="0"/>
          <w:sz w:val="23"/>
          <w:szCs w:val="23"/>
          <w:lang w:eastAsia="fr-BE"/>
          <w14:ligatures w14:val="none"/>
        </w:rPr>
        <w:t> et le </w:t>
      </w:r>
      <w:r w:rsidRPr="0003031E">
        <w:rPr>
          <w:rFonts w:ascii="Lato" w:eastAsia="Times New Roman" w:hAnsi="Lato" w:cs="Times New Roman"/>
          <w:color w:val="000000"/>
          <w:kern w:val="0"/>
          <w:sz w:val="23"/>
          <w:szCs w:val="23"/>
          <w:u w:val="single"/>
          <w:lang w:eastAsia="fr-BE"/>
          <w14:ligatures w14:val="none"/>
        </w:rPr>
        <w:t>rhénium</w:t>
      </w:r>
      <w:r w:rsidRPr="0003031E">
        <w:rPr>
          <w:rFonts w:ascii="Lato" w:eastAsia="Times New Roman" w:hAnsi="Lato" w:cs="Times New Roman"/>
          <w:color w:val="000000"/>
          <w:kern w:val="0"/>
          <w:sz w:val="23"/>
          <w:szCs w:val="23"/>
          <w:lang w:eastAsia="fr-BE"/>
          <w14:ligatures w14:val="none"/>
        </w:rPr>
        <w:t> ont fait leur entrée sur la liste provisoire, publiée le 25 août dernier par le département américain de l’Intérieur, </w:t>
      </w:r>
      <w:r w:rsidRPr="0003031E">
        <w:rPr>
          <w:rFonts w:ascii="Lato" w:eastAsia="Times New Roman" w:hAnsi="Lato" w:cs="Times New Roman"/>
          <w:i/>
          <w:iCs/>
          <w:color w:val="000000"/>
          <w:kern w:val="0"/>
          <w:sz w:val="23"/>
          <w:szCs w:val="23"/>
          <w:lang w:eastAsia="fr-BE"/>
          <w14:ligatures w14:val="none"/>
        </w:rPr>
        <w:t>via </w:t>
      </w:r>
      <w:r w:rsidRPr="0003031E">
        <w:rPr>
          <w:rFonts w:ascii="Lato" w:eastAsia="Times New Roman" w:hAnsi="Lato" w:cs="Times New Roman"/>
          <w:color w:val="000000"/>
          <w:kern w:val="0"/>
          <w:sz w:val="23"/>
          <w:szCs w:val="23"/>
          <w:lang w:eastAsia="fr-BE"/>
          <w14:ligatures w14:val="none"/>
        </w:rPr>
        <w:t xml:space="preserve">l’US </w:t>
      </w:r>
      <w:proofErr w:type="spellStart"/>
      <w:r w:rsidRPr="0003031E">
        <w:rPr>
          <w:rFonts w:ascii="Lato" w:eastAsia="Times New Roman" w:hAnsi="Lato" w:cs="Times New Roman"/>
          <w:color w:val="000000"/>
          <w:kern w:val="0"/>
          <w:sz w:val="23"/>
          <w:szCs w:val="23"/>
          <w:lang w:eastAsia="fr-BE"/>
          <w14:ligatures w14:val="none"/>
        </w:rPr>
        <w:t>Geological</w:t>
      </w:r>
      <w:proofErr w:type="spellEnd"/>
      <w:r w:rsidRPr="0003031E">
        <w:rPr>
          <w:rFonts w:ascii="Lato" w:eastAsia="Times New Roman" w:hAnsi="Lato" w:cs="Times New Roman"/>
          <w:color w:val="000000"/>
          <w:kern w:val="0"/>
          <w:sz w:val="23"/>
          <w:szCs w:val="23"/>
          <w:lang w:eastAsia="fr-BE"/>
          <w14:ligatures w14:val="none"/>
        </w:rPr>
        <w:t xml:space="preserve"> Survey (USGS). Le rhénium est indispensable au secteur de l’aérospatiale. Ses cours ont bondi, cette année, à des niveaux plus vus depuis 2015. Le </w:t>
      </w:r>
      <w:r w:rsidRPr="0003031E">
        <w:rPr>
          <w:rFonts w:ascii="Lato" w:eastAsia="Times New Roman" w:hAnsi="Lato" w:cs="Times New Roman"/>
          <w:color w:val="000000"/>
          <w:kern w:val="0"/>
          <w:sz w:val="23"/>
          <w:szCs w:val="23"/>
          <w:u w:val="single"/>
          <w:lang w:eastAsia="fr-BE"/>
          <w14:ligatures w14:val="none"/>
        </w:rPr>
        <w:t>silicium</w:t>
      </w:r>
      <w:r w:rsidRPr="0003031E">
        <w:rPr>
          <w:rFonts w:ascii="Lato" w:eastAsia="Times New Roman" w:hAnsi="Lato" w:cs="Times New Roman"/>
          <w:color w:val="000000"/>
          <w:kern w:val="0"/>
          <w:sz w:val="23"/>
          <w:szCs w:val="23"/>
          <w:lang w:eastAsia="fr-BE"/>
          <w14:ligatures w14:val="none"/>
        </w:rPr>
        <w:t> est utilisé à la fois dans le secteur des nouvelles énergies et dans celui des technologies. Le </w:t>
      </w:r>
      <w:r w:rsidRPr="0003031E">
        <w:rPr>
          <w:rFonts w:ascii="Lato" w:eastAsia="Times New Roman" w:hAnsi="Lato" w:cs="Times New Roman"/>
          <w:color w:val="000000"/>
          <w:kern w:val="0"/>
          <w:sz w:val="23"/>
          <w:szCs w:val="23"/>
          <w:u w:val="single"/>
          <w:lang w:eastAsia="fr-BE"/>
          <w14:ligatures w14:val="none"/>
        </w:rPr>
        <w:t>tellure</w:t>
      </w:r>
      <w:r w:rsidRPr="0003031E">
        <w:rPr>
          <w:rFonts w:ascii="Lato" w:eastAsia="Times New Roman" w:hAnsi="Lato" w:cs="Times New Roman"/>
          <w:color w:val="000000"/>
          <w:kern w:val="0"/>
          <w:sz w:val="23"/>
          <w:szCs w:val="23"/>
          <w:lang w:eastAsia="fr-BE"/>
          <w14:ligatures w14:val="none"/>
        </w:rPr>
        <w:t> et l’</w:t>
      </w:r>
      <w:r w:rsidRPr="0003031E">
        <w:rPr>
          <w:rFonts w:ascii="Lato" w:eastAsia="Times New Roman" w:hAnsi="Lato" w:cs="Times New Roman"/>
          <w:color w:val="000000"/>
          <w:kern w:val="0"/>
          <w:sz w:val="23"/>
          <w:szCs w:val="23"/>
          <w:u w:val="single"/>
          <w:lang w:eastAsia="fr-BE"/>
          <w14:ligatures w14:val="none"/>
        </w:rPr>
        <w:t>arsenic</w:t>
      </w:r>
      <w:r w:rsidRPr="0003031E">
        <w:rPr>
          <w:rFonts w:ascii="Lato" w:eastAsia="Times New Roman" w:hAnsi="Lato" w:cs="Times New Roman"/>
          <w:color w:val="000000"/>
          <w:kern w:val="0"/>
          <w:sz w:val="23"/>
          <w:szCs w:val="23"/>
          <w:lang w:eastAsia="fr-BE"/>
          <w14:ligatures w14:val="none"/>
        </w:rPr>
        <w:t>, qui figuraient dans l’édition 2022 de cette liste, pourraient en être retirés. L’USGS a expliqué que l’installation, par </w:t>
      </w:r>
      <w:r w:rsidRPr="0003031E">
        <w:rPr>
          <w:rFonts w:ascii="Lato" w:eastAsia="Times New Roman" w:hAnsi="Lato" w:cs="Times New Roman"/>
          <w:b/>
          <w:bCs/>
          <w:color w:val="000000"/>
          <w:kern w:val="0"/>
          <w:sz w:val="23"/>
          <w:szCs w:val="23"/>
          <w:lang w:eastAsia="fr-BE"/>
          <w14:ligatures w14:val="none"/>
        </w:rPr>
        <w:t>Rio Tinto</w:t>
      </w:r>
      <w:r w:rsidRPr="0003031E">
        <w:rPr>
          <w:rFonts w:ascii="Lato" w:eastAsia="Times New Roman" w:hAnsi="Lato" w:cs="Times New Roman"/>
          <w:color w:val="000000"/>
          <w:kern w:val="0"/>
          <w:sz w:val="23"/>
          <w:szCs w:val="23"/>
          <w:lang w:eastAsia="fr-BE"/>
          <w14:ligatures w14:val="none"/>
        </w:rPr>
        <w:t>, d’une unité de récupération de tellure de cuivre dans l’Etat américain de l’Utah, a permis au pays de passer du statut d’importateur net de tellure à exportateur net, en 2023. L’organisation concède toutefois que le </w:t>
      </w:r>
      <w:r w:rsidRPr="0003031E">
        <w:rPr>
          <w:rFonts w:ascii="Lato" w:eastAsia="Times New Roman" w:hAnsi="Lato" w:cs="Times New Roman"/>
          <w:color w:val="000000"/>
          <w:kern w:val="0"/>
          <w:sz w:val="23"/>
          <w:szCs w:val="23"/>
          <w:u w:val="single"/>
          <w:lang w:eastAsia="fr-BE"/>
          <w14:ligatures w14:val="none"/>
        </w:rPr>
        <w:t>tellure de cuivre</w:t>
      </w:r>
      <w:r w:rsidRPr="0003031E">
        <w:rPr>
          <w:rFonts w:ascii="Lato" w:eastAsia="Times New Roman" w:hAnsi="Lato" w:cs="Times New Roman"/>
          <w:color w:val="000000"/>
          <w:kern w:val="0"/>
          <w:sz w:val="23"/>
          <w:szCs w:val="23"/>
          <w:lang w:eastAsia="fr-BE"/>
          <w14:ligatures w14:val="none"/>
        </w:rPr>
        <w:t> n’est pas raffiné sur le sol américain et que l’approvisionnement pourrait être perturbé si l’un des deux producteurs en cessait la production. La dernière ébauche de la liste comprend 54 matières premières, dont 50 ont été sélectionnées sur la base de résultats d’une évaluation des effets économiques réalisée à l’aide d’un nouveau modèle développé par l’USGS afin d’évaluer l’impact des perturbations potentielles de la chaîne d’approvisionnement sur l’économie américaine. Cette liste peut être amenée à changer dans les 30 jours suivant la parution de la première ébauche. Le département américain de l’Intérieur a spécifiquement encouragé les retours concernant les ajouts à la liste. Le statut de métal critique permet de faciliter l’obtention de permis, de financements et d’échapper aux droits de douane. Ainsi les droits de douane réciproques dévoilés par Donald Trump le 2 avril dernier excluaient-ils les métaux critiques.</w:t>
      </w:r>
    </w:p>
    <w:p w14:paraId="1A6A545C" w14:textId="77777777" w:rsidR="0003031E" w:rsidRPr="0003031E" w:rsidRDefault="0003031E" w:rsidP="0003031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3031E">
        <w:rPr>
          <w:rFonts w:ascii="Lato" w:eastAsia="Times New Roman" w:hAnsi="Lato" w:cs="Times New Roman"/>
          <w:color w:val="000000"/>
          <w:kern w:val="0"/>
          <w:sz w:val="23"/>
          <w:szCs w:val="23"/>
          <w:lang w:eastAsia="fr-BE"/>
          <w14:ligatures w14:val="none"/>
        </w:rPr>
        <w:t> </w:t>
      </w:r>
    </w:p>
    <w:p w14:paraId="7C330311" w14:textId="77777777" w:rsidR="0003031E" w:rsidRPr="0003031E" w:rsidRDefault="0003031E" w:rsidP="0003031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3031E">
        <w:rPr>
          <w:rFonts w:ascii="Lato" w:eastAsia="Times New Roman" w:hAnsi="Lato" w:cs="Times New Roman"/>
          <w:b/>
          <w:bCs/>
          <w:color w:val="A52A2A"/>
          <w:kern w:val="0"/>
          <w:sz w:val="23"/>
          <w:szCs w:val="23"/>
          <w:lang w:eastAsia="fr-BE"/>
          <w14:ligatures w14:val="none"/>
        </w:rPr>
        <w:t xml:space="preserve">Lithium : </w:t>
      </w:r>
      <w:proofErr w:type="spellStart"/>
      <w:r w:rsidRPr="0003031E">
        <w:rPr>
          <w:rFonts w:ascii="Lato" w:eastAsia="Times New Roman" w:hAnsi="Lato" w:cs="Times New Roman"/>
          <w:b/>
          <w:bCs/>
          <w:color w:val="A52A2A"/>
          <w:kern w:val="0"/>
          <w:sz w:val="23"/>
          <w:szCs w:val="23"/>
          <w:lang w:eastAsia="fr-BE"/>
          <w14:ligatures w14:val="none"/>
        </w:rPr>
        <w:t>Lyten</w:t>
      </w:r>
      <w:proofErr w:type="spellEnd"/>
      <w:r w:rsidRPr="0003031E">
        <w:rPr>
          <w:rFonts w:ascii="Lato" w:eastAsia="Times New Roman" w:hAnsi="Lato" w:cs="Times New Roman"/>
          <w:b/>
          <w:bCs/>
          <w:color w:val="A52A2A"/>
          <w:kern w:val="0"/>
          <w:sz w:val="23"/>
          <w:szCs w:val="23"/>
          <w:lang w:eastAsia="fr-BE"/>
          <w14:ligatures w14:val="none"/>
        </w:rPr>
        <w:t xml:space="preserve"> rachète des sites de </w:t>
      </w:r>
      <w:proofErr w:type="spellStart"/>
      <w:r w:rsidRPr="0003031E">
        <w:rPr>
          <w:rFonts w:ascii="Lato" w:eastAsia="Times New Roman" w:hAnsi="Lato" w:cs="Times New Roman"/>
          <w:b/>
          <w:bCs/>
          <w:color w:val="A52A2A"/>
          <w:kern w:val="0"/>
          <w:sz w:val="23"/>
          <w:szCs w:val="23"/>
          <w:lang w:eastAsia="fr-BE"/>
          <w14:ligatures w14:val="none"/>
        </w:rPr>
        <w:t>Northvolt</w:t>
      </w:r>
      <w:proofErr w:type="spellEnd"/>
    </w:p>
    <w:p w14:paraId="4C09A57A" w14:textId="77777777" w:rsidR="0003031E" w:rsidRPr="0003031E" w:rsidRDefault="0003031E" w:rsidP="0003031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3031E">
        <w:rPr>
          <w:rFonts w:ascii="Lato" w:eastAsia="Times New Roman" w:hAnsi="Lato" w:cs="Times New Roman"/>
          <w:color w:val="000000"/>
          <w:kern w:val="0"/>
          <w:sz w:val="23"/>
          <w:szCs w:val="23"/>
          <w:lang w:eastAsia="fr-BE"/>
          <w14:ligatures w14:val="none"/>
        </w:rPr>
        <w:t>Le fabricant américain de batteries </w:t>
      </w:r>
      <w:proofErr w:type="spellStart"/>
      <w:r w:rsidRPr="0003031E">
        <w:rPr>
          <w:rFonts w:ascii="Lato" w:eastAsia="Times New Roman" w:hAnsi="Lato" w:cs="Times New Roman"/>
          <w:b/>
          <w:bCs/>
          <w:color w:val="000000"/>
          <w:kern w:val="0"/>
          <w:sz w:val="23"/>
          <w:szCs w:val="23"/>
          <w:lang w:eastAsia="fr-BE"/>
          <w14:ligatures w14:val="none"/>
        </w:rPr>
        <w:t>Lyten</w:t>
      </w:r>
      <w:proofErr w:type="spellEnd"/>
      <w:r w:rsidRPr="0003031E">
        <w:rPr>
          <w:rFonts w:ascii="Lato" w:eastAsia="Times New Roman" w:hAnsi="Lato" w:cs="Times New Roman"/>
          <w:b/>
          <w:bCs/>
          <w:color w:val="000000"/>
          <w:kern w:val="0"/>
          <w:sz w:val="23"/>
          <w:szCs w:val="23"/>
          <w:lang w:eastAsia="fr-BE"/>
          <w14:ligatures w14:val="none"/>
        </w:rPr>
        <w:t> </w:t>
      </w:r>
      <w:r w:rsidRPr="0003031E">
        <w:rPr>
          <w:rFonts w:ascii="Lato" w:eastAsia="Times New Roman" w:hAnsi="Lato" w:cs="Times New Roman"/>
          <w:color w:val="000000"/>
          <w:kern w:val="0"/>
          <w:sz w:val="23"/>
          <w:szCs w:val="23"/>
          <w:lang w:eastAsia="fr-BE"/>
          <w14:ligatures w14:val="none"/>
        </w:rPr>
        <w:t>a annoncé, le 7 août dernier, son intention de racheter les sites suédois et allemand de </w:t>
      </w:r>
      <w:proofErr w:type="spellStart"/>
      <w:r w:rsidRPr="0003031E">
        <w:rPr>
          <w:rFonts w:ascii="Lato" w:eastAsia="Times New Roman" w:hAnsi="Lato" w:cs="Times New Roman"/>
          <w:b/>
          <w:bCs/>
          <w:color w:val="000000"/>
          <w:kern w:val="0"/>
          <w:sz w:val="23"/>
          <w:szCs w:val="23"/>
          <w:lang w:eastAsia="fr-BE"/>
          <w14:ligatures w14:val="none"/>
        </w:rPr>
        <w:t>Northvolt</w:t>
      </w:r>
      <w:proofErr w:type="spellEnd"/>
      <w:r w:rsidRPr="0003031E">
        <w:rPr>
          <w:rFonts w:ascii="Lato" w:eastAsia="Times New Roman" w:hAnsi="Lato" w:cs="Times New Roman"/>
          <w:color w:val="000000"/>
          <w:kern w:val="0"/>
          <w:sz w:val="23"/>
          <w:szCs w:val="23"/>
          <w:lang w:eastAsia="fr-BE"/>
          <w14:ligatures w14:val="none"/>
        </w:rPr>
        <w:t xml:space="preserve">. Confrontée à une dette de près de 7 milliards d’euros, la start-up avait fait faillite l’année dernière </w:t>
      </w:r>
      <w:proofErr w:type="gramStart"/>
      <w:r w:rsidRPr="0003031E">
        <w:rPr>
          <w:rFonts w:ascii="Lato" w:eastAsia="Times New Roman" w:hAnsi="Lato" w:cs="Times New Roman"/>
          <w:color w:val="000000"/>
          <w:kern w:val="0"/>
          <w:sz w:val="23"/>
          <w:szCs w:val="23"/>
          <w:lang w:eastAsia="fr-BE"/>
          <w14:ligatures w14:val="none"/>
        </w:rPr>
        <w:t>suite à des annulations</w:t>
      </w:r>
      <w:proofErr w:type="gramEnd"/>
      <w:r w:rsidRPr="0003031E">
        <w:rPr>
          <w:rFonts w:ascii="Lato" w:eastAsia="Times New Roman" w:hAnsi="Lato" w:cs="Times New Roman"/>
          <w:color w:val="000000"/>
          <w:kern w:val="0"/>
          <w:sz w:val="23"/>
          <w:szCs w:val="23"/>
          <w:lang w:eastAsia="fr-BE"/>
          <w14:ligatures w14:val="none"/>
        </w:rPr>
        <w:t xml:space="preserve"> de commandes, la non-atteinte des objectifs de production et le retrait d’investisseurs clés. Les sites rachetés par </w:t>
      </w:r>
      <w:proofErr w:type="spellStart"/>
      <w:r w:rsidRPr="0003031E">
        <w:rPr>
          <w:rFonts w:ascii="Lato" w:eastAsia="Times New Roman" w:hAnsi="Lato" w:cs="Times New Roman"/>
          <w:b/>
          <w:bCs/>
          <w:color w:val="000000"/>
          <w:kern w:val="0"/>
          <w:sz w:val="23"/>
          <w:szCs w:val="23"/>
          <w:lang w:eastAsia="fr-BE"/>
          <w14:ligatures w14:val="none"/>
        </w:rPr>
        <w:t>Lyten</w:t>
      </w:r>
      <w:proofErr w:type="spellEnd"/>
      <w:r w:rsidRPr="0003031E">
        <w:rPr>
          <w:rFonts w:ascii="Lato" w:eastAsia="Times New Roman" w:hAnsi="Lato" w:cs="Times New Roman"/>
          <w:b/>
          <w:bCs/>
          <w:color w:val="000000"/>
          <w:kern w:val="0"/>
          <w:sz w:val="23"/>
          <w:szCs w:val="23"/>
          <w:lang w:eastAsia="fr-BE"/>
          <w14:ligatures w14:val="none"/>
        </w:rPr>
        <w:t> </w:t>
      </w:r>
      <w:r w:rsidRPr="0003031E">
        <w:rPr>
          <w:rFonts w:ascii="Lato" w:eastAsia="Times New Roman" w:hAnsi="Lato" w:cs="Times New Roman"/>
          <w:color w:val="000000"/>
          <w:kern w:val="0"/>
          <w:sz w:val="23"/>
          <w:szCs w:val="23"/>
          <w:lang w:eastAsia="fr-BE"/>
          <w14:ligatures w14:val="none"/>
        </w:rPr>
        <w:t>sont évalués à 5 milliards de dollars et représentent une « </w:t>
      </w:r>
      <w:r w:rsidRPr="0003031E">
        <w:rPr>
          <w:rFonts w:ascii="Lato" w:eastAsia="Times New Roman" w:hAnsi="Lato" w:cs="Times New Roman"/>
          <w:i/>
          <w:iCs/>
          <w:color w:val="000000"/>
          <w:kern w:val="0"/>
          <w:sz w:val="23"/>
          <w:szCs w:val="23"/>
          <w:lang w:eastAsia="fr-BE"/>
          <w14:ligatures w14:val="none"/>
        </w:rPr>
        <w:t xml:space="preserve">capacité de production de 16 </w:t>
      </w:r>
      <w:proofErr w:type="gramStart"/>
      <w:r w:rsidRPr="0003031E">
        <w:rPr>
          <w:rFonts w:ascii="Lato" w:eastAsia="Times New Roman" w:hAnsi="Lato" w:cs="Times New Roman"/>
          <w:i/>
          <w:iCs/>
          <w:color w:val="000000"/>
          <w:kern w:val="0"/>
          <w:sz w:val="23"/>
          <w:szCs w:val="23"/>
          <w:lang w:eastAsia="fr-BE"/>
          <w14:ligatures w14:val="none"/>
        </w:rPr>
        <w:t>GWh</w:t>
      </w:r>
      <w:proofErr w:type="gramEnd"/>
      <w:r w:rsidRPr="0003031E">
        <w:rPr>
          <w:rFonts w:ascii="Lato" w:eastAsia="Times New Roman" w:hAnsi="Lato" w:cs="Times New Roman"/>
          <w:i/>
          <w:iCs/>
          <w:color w:val="000000"/>
          <w:kern w:val="0"/>
          <w:sz w:val="23"/>
          <w:szCs w:val="23"/>
          <w:lang w:eastAsia="fr-BE"/>
          <w14:ligatures w14:val="none"/>
        </w:rPr>
        <w:t xml:space="preserve"> de batteries déjà opérationnelle et de plus de 15 </w:t>
      </w:r>
      <w:proofErr w:type="gramStart"/>
      <w:r w:rsidRPr="0003031E">
        <w:rPr>
          <w:rFonts w:ascii="Lato" w:eastAsia="Times New Roman" w:hAnsi="Lato" w:cs="Times New Roman"/>
          <w:i/>
          <w:iCs/>
          <w:color w:val="000000"/>
          <w:kern w:val="0"/>
          <w:sz w:val="23"/>
          <w:szCs w:val="23"/>
          <w:lang w:eastAsia="fr-BE"/>
          <w14:ligatures w14:val="none"/>
        </w:rPr>
        <w:t>GWh</w:t>
      </w:r>
      <w:proofErr w:type="gramEnd"/>
      <w:r w:rsidRPr="0003031E">
        <w:rPr>
          <w:rFonts w:ascii="Lato" w:eastAsia="Times New Roman" w:hAnsi="Lato" w:cs="Times New Roman"/>
          <w:i/>
          <w:iCs/>
          <w:color w:val="000000"/>
          <w:kern w:val="0"/>
          <w:sz w:val="23"/>
          <w:szCs w:val="23"/>
          <w:lang w:eastAsia="fr-BE"/>
          <w14:ligatures w14:val="none"/>
        </w:rPr>
        <w:t xml:space="preserve"> en construction </w:t>
      </w:r>
      <w:r w:rsidRPr="0003031E">
        <w:rPr>
          <w:rFonts w:ascii="Lato" w:eastAsia="Times New Roman" w:hAnsi="Lato" w:cs="Times New Roman"/>
          <w:color w:val="000000"/>
          <w:kern w:val="0"/>
          <w:sz w:val="23"/>
          <w:szCs w:val="23"/>
          <w:lang w:eastAsia="fr-BE"/>
          <w14:ligatures w14:val="none"/>
        </w:rPr>
        <w:t>», précise le groupe américain dans un communiqué. En novembre 2024, ce dernier avait déjà fait l’acquisition de l’usine californienne de </w:t>
      </w:r>
      <w:proofErr w:type="spellStart"/>
      <w:r w:rsidRPr="0003031E">
        <w:rPr>
          <w:rFonts w:ascii="Lato" w:eastAsia="Times New Roman" w:hAnsi="Lato" w:cs="Times New Roman"/>
          <w:b/>
          <w:bCs/>
          <w:color w:val="000000"/>
          <w:kern w:val="0"/>
          <w:sz w:val="23"/>
          <w:szCs w:val="23"/>
          <w:lang w:eastAsia="fr-BE"/>
          <w14:ligatures w14:val="none"/>
        </w:rPr>
        <w:t>Northvolt</w:t>
      </w:r>
      <w:proofErr w:type="spellEnd"/>
      <w:r w:rsidRPr="0003031E">
        <w:rPr>
          <w:rFonts w:ascii="Lato" w:eastAsia="Times New Roman" w:hAnsi="Lato" w:cs="Times New Roman"/>
          <w:color w:val="000000"/>
          <w:kern w:val="0"/>
          <w:sz w:val="23"/>
          <w:szCs w:val="23"/>
          <w:lang w:eastAsia="fr-BE"/>
          <w14:ligatures w14:val="none"/>
        </w:rPr>
        <w:t>. </w:t>
      </w:r>
      <w:proofErr w:type="spellStart"/>
      <w:r w:rsidRPr="0003031E">
        <w:rPr>
          <w:rFonts w:ascii="Lato" w:eastAsia="Times New Roman" w:hAnsi="Lato" w:cs="Times New Roman"/>
          <w:b/>
          <w:bCs/>
          <w:color w:val="000000"/>
          <w:kern w:val="0"/>
          <w:sz w:val="23"/>
          <w:szCs w:val="23"/>
          <w:lang w:eastAsia="fr-BE"/>
          <w14:ligatures w14:val="none"/>
        </w:rPr>
        <w:t>Lyten</w:t>
      </w:r>
      <w:proofErr w:type="spellEnd"/>
      <w:r w:rsidRPr="0003031E">
        <w:rPr>
          <w:rFonts w:ascii="Lato" w:eastAsia="Times New Roman" w:hAnsi="Lato" w:cs="Times New Roman"/>
          <w:b/>
          <w:bCs/>
          <w:color w:val="000000"/>
          <w:kern w:val="0"/>
          <w:sz w:val="23"/>
          <w:szCs w:val="23"/>
          <w:lang w:eastAsia="fr-BE"/>
          <w14:ligatures w14:val="none"/>
        </w:rPr>
        <w:t> </w:t>
      </w:r>
      <w:r w:rsidRPr="0003031E">
        <w:rPr>
          <w:rFonts w:ascii="Lato" w:eastAsia="Times New Roman" w:hAnsi="Lato" w:cs="Times New Roman"/>
          <w:color w:val="000000"/>
          <w:kern w:val="0"/>
          <w:sz w:val="23"/>
          <w:szCs w:val="23"/>
          <w:lang w:eastAsia="fr-BE"/>
          <w14:ligatures w14:val="none"/>
        </w:rPr>
        <w:t>est spécialisé dans le graphène 3D et les batteries au lithium-souffre, et cherche à imposer sa technologie comme alternative au lithium-ion. Les constructeurs et spécialistes du secteur se montrent sceptiques, arguant notamment du stade encore expérimental de cette technologie, quand celle du lithium-ion est ultradominante. Ils soulignent, en outre, qu’il a fallu plus de 15 années et plus de 150 milliards de dollars d’investissements à la Chine pour obtenir la place qu’elle occupe actuellement. Il faudra donc à </w:t>
      </w:r>
      <w:proofErr w:type="spellStart"/>
      <w:r w:rsidRPr="0003031E">
        <w:rPr>
          <w:rFonts w:ascii="Lato" w:eastAsia="Times New Roman" w:hAnsi="Lato" w:cs="Times New Roman"/>
          <w:b/>
          <w:bCs/>
          <w:color w:val="000000"/>
          <w:kern w:val="0"/>
          <w:sz w:val="23"/>
          <w:szCs w:val="23"/>
          <w:lang w:eastAsia="fr-BE"/>
          <w14:ligatures w14:val="none"/>
        </w:rPr>
        <w:t>Lyten</w:t>
      </w:r>
      <w:proofErr w:type="spellEnd"/>
      <w:r w:rsidRPr="0003031E">
        <w:rPr>
          <w:rFonts w:ascii="Lato" w:eastAsia="Times New Roman" w:hAnsi="Lato" w:cs="Times New Roman"/>
          <w:b/>
          <w:bCs/>
          <w:color w:val="000000"/>
          <w:kern w:val="0"/>
          <w:sz w:val="23"/>
          <w:szCs w:val="23"/>
          <w:lang w:eastAsia="fr-BE"/>
          <w14:ligatures w14:val="none"/>
        </w:rPr>
        <w:t> </w:t>
      </w:r>
      <w:r w:rsidRPr="0003031E">
        <w:rPr>
          <w:rFonts w:ascii="Lato" w:eastAsia="Times New Roman" w:hAnsi="Lato" w:cs="Times New Roman"/>
          <w:color w:val="000000"/>
          <w:kern w:val="0"/>
          <w:sz w:val="23"/>
          <w:szCs w:val="23"/>
          <w:lang w:eastAsia="fr-BE"/>
          <w14:ligatures w14:val="none"/>
        </w:rPr>
        <w:t>beaucoup de patience et de financements pour parvenir à concurrencer Pékin. « </w:t>
      </w:r>
      <w:r w:rsidRPr="0003031E">
        <w:rPr>
          <w:rFonts w:ascii="Lato" w:eastAsia="Times New Roman" w:hAnsi="Lato" w:cs="Times New Roman"/>
          <w:i/>
          <w:iCs/>
          <w:color w:val="000000"/>
          <w:kern w:val="0"/>
          <w:sz w:val="23"/>
          <w:szCs w:val="23"/>
          <w:lang w:eastAsia="fr-BE"/>
          <w14:ligatures w14:val="none"/>
        </w:rPr>
        <w:t xml:space="preserve">La demande de batteries fabriquées </w:t>
      </w:r>
      <w:r w:rsidRPr="0003031E">
        <w:rPr>
          <w:rFonts w:ascii="Lato" w:eastAsia="Times New Roman" w:hAnsi="Lato" w:cs="Times New Roman"/>
          <w:i/>
          <w:iCs/>
          <w:color w:val="000000"/>
          <w:kern w:val="0"/>
          <w:sz w:val="23"/>
          <w:szCs w:val="23"/>
          <w:lang w:eastAsia="fr-BE"/>
          <w14:ligatures w14:val="none"/>
        </w:rPr>
        <w:lastRenderedPageBreak/>
        <w:t>en Europe et en Amérique du Nord ne cesse de croître </w:t>
      </w:r>
      <w:r w:rsidRPr="0003031E">
        <w:rPr>
          <w:rFonts w:ascii="Lato" w:eastAsia="Times New Roman" w:hAnsi="Lato" w:cs="Times New Roman"/>
          <w:color w:val="000000"/>
          <w:kern w:val="0"/>
          <w:sz w:val="23"/>
          <w:szCs w:val="23"/>
          <w:lang w:eastAsia="fr-BE"/>
          <w14:ligatures w14:val="none"/>
        </w:rPr>
        <w:t xml:space="preserve">», a déclaré Lars </w:t>
      </w:r>
      <w:proofErr w:type="spellStart"/>
      <w:r w:rsidRPr="0003031E">
        <w:rPr>
          <w:rFonts w:ascii="Lato" w:eastAsia="Times New Roman" w:hAnsi="Lato" w:cs="Times New Roman"/>
          <w:color w:val="000000"/>
          <w:kern w:val="0"/>
          <w:sz w:val="23"/>
          <w:szCs w:val="23"/>
          <w:lang w:eastAsia="fr-BE"/>
          <w14:ligatures w14:val="none"/>
        </w:rPr>
        <w:t>Herlitz</w:t>
      </w:r>
      <w:proofErr w:type="spellEnd"/>
      <w:r w:rsidRPr="0003031E">
        <w:rPr>
          <w:rFonts w:ascii="Lato" w:eastAsia="Times New Roman" w:hAnsi="Lato" w:cs="Times New Roman"/>
          <w:color w:val="000000"/>
          <w:kern w:val="0"/>
          <w:sz w:val="23"/>
          <w:szCs w:val="23"/>
          <w:lang w:eastAsia="fr-BE"/>
          <w14:ligatures w14:val="none"/>
        </w:rPr>
        <w:t>, président et cofondateur de </w:t>
      </w:r>
      <w:proofErr w:type="spellStart"/>
      <w:r w:rsidRPr="0003031E">
        <w:rPr>
          <w:rFonts w:ascii="Lato" w:eastAsia="Times New Roman" w:hAnsi="Lato" w:cs="Times New Roman"/>
          <w:b/>
          <w:bCs/>
          <w:color w:val="000000"/>
          <w:kern w:val="0"/>
          <w:sz w:val="23"/>
          <w:szCs w:val="23"/>
          <w:lang w:eastAsia="fr-BE"/>
          <w14:ligatures w14:val="none"/>
        </w:rPr>
        <w:t>Lyten</w:t>
      </w:r>
      <w:proofErr w:type="spellEnd"/>
      <w:r w:rsidRPr="0003031E">
        <w:rPr>
          <w:rFonts w:ascii="Lato" w:eastAsia="Times New Roman" w:hAnsi="Lato" w:cs="Times New Roman"/>
          <w:color w:val="000000"/>
          <w:kern w:val="0"/>
          <w:sz w:val="23"/>
          <w:szCs w:val="23"/>
          <w:lang w:eastAsia="fr-BE"/>
          <w14:ligatures w14:val="none"/>
        </w:rPr>
        <w:t>, dont l’objectif affiché est d</w:t>
      </w:r>
      <w:proofErr w:type="gramStart"/>
      <w:r w:rsidRPr="0003031E">
        <w:rPr>
          <w:rFonts w:ascii="Lato" w:eastAsia="Times New Roman" w:hAnsi="Lato" w:cs="Times New Roman"/>
          <w:color w:val="000000"/>
          <w:kern w:val="0"/>
          <w:sz w:val="23"/>
          <w:szCs w:val="23"/>
          <w:lang w:eastAsia="fr-BE"/>
          <w14:ligatures w14:val="none"/>
        </w:rPr>
        <w:t>’«</w:t>
      </w:r>
      <w:proofErr w:type="gramEnd"/>
      <w:r w:rsidRPr="0003031E">
        <w:rPr>
          <w:rFonts w:ascii="Lato" w:eastAsia="Times New Roman" w:hAnsi="Lato" w:cs="Times New Roman"/>
          <w:color w:val="000000"/>
          <w:kern w:val="0"/>
          <w:sz w:val="23"/>
          <w:szCs w:val="23"/>
          <w:lang w:eastAsia="fr-BE"/>
          <w14:ligatures w14:val="none"/>
        </w:rPr>
        <w:t> </w:t>
      </w:r>
      <w:r w:rsidRPr="0003031E">
        <w:rPr>
          <w:rFonts w:ascii="Lato" w:eastAsia="Times New Roman" w:hAnsi="Lato" w:cs="Times New Roman"/>
          <w:i/>
          <w:iCs/>
          <w:color w:val="000000"/>
          <w:kern w:val="0"/>
          <w:sz w:val="23"/>
          <w:szCs w:val="23"/>
          <w:lang w:eastAsia="fr-BE"/>
          <w14:ligatures w14:val="none"/>
        </w:rPr>
        <w:t>être le premier fournisseur de batteries et de systèmes de stockage d’énergie propres, fabriqués localement pour l’Amérique du Nord et l’Europe </w:t>
      </w:r>
      <w:r w:rsidRPr="0003031E">
        <w:rPr>
          <w:rFonts w:ascii="Lato" w:eastAsia="Times New Roman" w:hAnsi="Lato" w:cs="Times New Roman"/>
          <w:color w:val="000000"/>
          <w:kern w:val="0"/>
          <w:sz w:val="23"/>
          <w:szCs w:val="23"/>
          <w:lang w:eastAsia="fr-BE"/>
          <w14:ligatures w14:val="none"/>
        </w:rPr>
        <w:t>».</w:t>
      </w:r>
    </w:p>
    <w:p w14:paraId="291E0E5E" w14:textId="77777777" w:rsidR="0003031E" w:rsidRPr="0003031E" w:rsidRDefault="0003031E" w:rsidP="0003031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3031E">
        <w:rPr>
          <w:rFonts w:ascii="Lato" w:eastAsia="Times New Roman" w:hAnsi="Lato" w:cs="Times New Roman"/>
          <w:color w:val="000000"/>
          <w:kern w:val="0"/>
          <w:sz w:val="23"/>
          <w:szCs w:val="23"/>
          <w:lang w:eastAsia="fr-BE"/>
          <w14:ligatures w14:val="none"/>
        </w:rPr>
        <w:t> </w:t>
      </w:r>
    </w:p>
    <w:p w14:paraId="0119E5D9" w14:textId="77777777" w:rsidR="0003031E" w:rsidRPr="0003031E" w:rsidRDefault="0003031E" w:rsidP="0003031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3031E">
        <w:rPr>
          <w:rFonts w:ascii="Lato" w:eastAsia="Times New Roman" w:hAnsi="Lato" w:cs="Times New Roman"/>
          <w:color w:val="000000"/>
          <w:kern w:val="0"/>
          <w:sz w:val="23"/>
          <w:szCs w:val="23"/>
          <w:lang w:eastAsia="fr-BE"/>
          <w14:ligatures w14:val="none"/>
        </w:rPr>
        <w:t> </w:t>
      </w:r>
    </w:p>
    <w:p w14:paraId="535257A4"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1E"/>
    <w:rsid w:val="0003031E"/>
    <w:rsid w:val="00287462"/>
    <w:rsid w:val="008C5A4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AE51"/>
  <w15:chartTrackingRefBased/>
  <w15:docId w15:val="{B0E9B985-AFC9-40B2-AA57-CFD5AC03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0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30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3031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3031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3031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303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03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03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03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031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03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3031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3031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3031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303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03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03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031E"/>
    <w:rPr>
      <w:rFonts w:eastAsiaTheme="majorEastAsia" w:cstheme="majorBidi"/>
      <w:color w:val="272727" w:themeColor="text1" w:themeTint="D8"/>
    </w:rPr>
  </w:style>
  <w:style w:type="paragraph" w:styleId="Titre">
    <w:name w:val="Title"/>
    <w:basedOn w:val="Normal"/>
    <w:next w:val="Normal"/>
    <w:link w:val="TitreCar"/>
    <w:uiPriority w:val="10"/>
    <w:qFormat/>
    <w:rsid w:val="00030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03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03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03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031E"/>
    <w:pPr>
      <w:spacing w:before="160"/>
      <w:jc w:val="center"/>
    </w:pPr>
    <w:rPr>
      <w:i/>
      <w:iCs/>
      <w:color w:val="404040" w:themeColor="text1" w:themeTint="BF"/>
    </w:rPr>
  </w:style>
  <w:style w:type="character" w:customStyle="1" w:styleId="CitationCar">
    <w:name w:val="Citation Car"/>
    <w:basedOn w:val="Policepardfaut"/>
    <w:link w:val="Citation"/>
    <w:uiPriority w:val="29"/>
    <w:rsid w:val="0003031E"/>
    <w:rPr>
      <w:i/>
      <w:iCs/>
      <w:color w:val="404040" w:themeColor="text1" w:themeTint="BF"/>
    </w:rPr>
  </w:style>
  <w:style w:type="paragraph" w:styleId="Paragraphedeliste">
    <w:name w:val="List Paragraph"/>
    <w:basedOn w:val="Normal"/>
    <w:uiPriority w:val="34"/>
    <w:qFormat/>
    <w:rsid w:val="0003031E"/>
    <w:pPr>
      <w:ind w:left="720"/>
      <w:contextualSpacing/>
    </w:pPr>
  </w:style>
  <w:style w:type="character" w:styleId="Accentuationintense">
    <w:name w:val="Intense Emphasis"/>
    <w:basedOn w:val="Policepardfaut"/>
    <w:uiPriority w:val="21"/>
    <w:qFormat/>
    <w:rsid w:val="0003031E"/>
    <w:rPr>
      <w:i/>
      <w:iCs/>
      <w:color w:val="0F4761" w:themeColor="accent1" w:themeShade="BF"/>
    </w:rPr>
  </w:style>
  <w:style w:type="paragraph" w:styleId="Citationintense">
    <w:name w:val="Intense Quote"/>
    <w:basedOn w:val="Normal"/>
    <w:next w:val="Normal"/>
    <w:link w:val="CitationintenseCar"/>
    <w:uiPriority w:val="30"/>
    <w:qFormat/>
    <w:rsid w:val="00030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3031E"/>
    <w:rPr>
      <w:i/>
      <w:iCs/>
      <w:color w:val="0F4761" w:themeColor="accent1" w:themeShade="BF"/>
    </w:rPr>
  </w:style>
  <w:style w:type="character" w:styleId="Rfrenceintense">
    <w:name w:val="Intense Reference"/>
    <w:basedOn w:val="Policepardfaut"/>
    <w:uiPriority w:val="32"/>
    <w:qFormat/>
    <w:rsid w:val="00030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3377</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2025-09-02T05:49:00Z</dcterms:created>
  <dcterms:modified xsi:type="dcterms:W3CDTF">2025-09-02T05:49:00Z</dcterms:modified>
</cp:coreProperties>
</file>